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0F2F">
      <w:pPr>
        <w:pStyle w:val="Koptekst"/>
        <w:tabs>
          <w:tab w:val="right" w:pos="9356"/>
        </w:tabs>
      </w:pPr>
      <w:r>
        <w:t xml:space="preserve">Schadeverzekering voor Inzittenden </w:t>
      </w:r>
    </w:p>
    <w:p w:rsidR="00000000" w:rsidRDefault="004E0F2F">
      <w:pPr>
        <w:pStyle w:val="Kop1"/>
        <w:numPr>
          <w:ilvl w:val="0"/>
          <w:numId w:val="0"/>
        </w:numPr>
        <w:tabs>
          <w:tab w:val="right" w:pos="10206"/>
        </w:tabs>
        <w:rPr>
          <w:sz w:val="36"/>
        </w:rPr>
      </w:pPr>
      <w:r>
        <w:t xml:space="preserve">Bijzondere Voorwaarden </w:t>
      </w:r>
      <w:r>
        <w:tab/>
        <w:t>SVI021</w:t>
      </w:r>
    </w:p>
    <w:p w:rsidR="00000000" w:rsidRDefault="004E0F2F"/>
    <w:p w:rsidR="00000000" w:rsidRDefault="004E0F2F">
      <w:r>
        <w:t>Inhoudsopgave</w:t>
      </w:r>
    </w:p>
    <w:p w:rsidR="00000000" w:rsidRDefault="004E0F2F">
      <w:pPr>
        <w:rPr>
          <w:b/>
        </w:rPr>
      </w:pPr>
    </w:p>
    <w:tbl>
      <w:tblPr>
        <w:tblW w:w="0" w:type="auto"/>
        <w:tblLayout w:type="fixed"/>
        <w:tblCellMar>
          <w:left w:w="70" w:type="dxa"/>
          <w:right w:w="70" w:type="dxa"/>
        </w:tblCellMar>
        <w:tblLook w:val="0000"/>
      </w:tblPr>
      <w:tblGrid>
        <w:gridCol w:w="921"/>
        <w:gridCol w:w="5386"/>
      </w:tblGrid>
      <w:tr w:rsidR="00000000">
        <w:tblPrEx>
          <w:tblCellMar>
            <w:top w:w="0" w:type="dxa"/>
            <w:bottom w:w="0" w:type="dxa"/>
          </w:tblCellMar>
        </w:tblPrEx>
        <w:tc>
          <w:tcPr>
            <w:tcW w:w="921" w:type="dxa"/>
          </w:tcPr>
          <w:p w:rsidR="00000000" w:rsidRDefault="004E0F2F">
            <w:pPr>
              <w:rPr>
                <w:b/>
              </w:rPr>
            </w:pPr>
            <w:r>
              <w:rPr>
                <w:b/>
              </w:rPr>
              <w:t>Artikel 1</w:t>
            </w:r>
          </w:p>
        </w:tc>
        <w:tc>
          <w:tcPr>
            <w:tcW w:w="5386" w:type="dxa"/>
          </w:tcPr>
          <w:p w:rsidR="00000000" w:rsidRDefault="004E0F2F">
            <w:pPr>
              <w:rPr>
                <w:b/>
              </w:rPr>
            </w:pPr>
            <w:r>
              <w:rPr>
                <w:b/>
              </w:rPr>
              <w:t>Definities</w:t>
            </w:r>
          </w:p>
        </w:tc>
      </w:tr>
      <w:tr w:rsidR="00000000">
        <w:tblPrEx>
          <w:tblCellMar>
            <w:top w:w="0" w:type="dxa"/>
            <w:bottom w:w="0" w:type="dxa"/>
          </w:tblCellMar>
        </w:tblPrEx>
        <w:tc>
          <w:tcPr>
            <w:tcW w:w="921" w:type="dxa"/>
          </w:tcPr>
          <w:p w:rsidR="00000000" w:rsidRDefault="004E0F2F">
            <w:pPr>
              <w:rPr>
                <w:b/>
              </w:rPr>
            </w:pPr>
            <w:r>
              <w:rPr>
                <w:b/>
              </w:rPr>
              <w:t>Artikel 2</w:t>
            </w:r>
          </w:p>
        </w:tc>
        <w:tc>
          <w:tcPr>
            <w:tcW w:w="5386" w:type="dxa"/>
          </w:tcPr>
          <w:p w:rsidR="00000000" w:rsidRDefault="004E0F2F">
            <w:pPr>
              <w:rPr>
                <w:b/>
              </w:rPr>
            </w:pPr>
            <w:r>
              <w:rPr>
                <w:b/>
              </w:rPr>
              <w:t>Verzekeringsgebied</w:t>
            </w:r>
          </w:p>
        </w:tc>
      </w:tr>
      <w:tr w:rsidR="00000000">
        <w:tblPrEx>
          <w:tblCellMar>
            <w:top w:w="0" w:type="dxa"/>
            <w:bottom w:w="0" w:type="dxa"/>
          </w:tblCellMar>
        </w:tblPrEx>
        <w:tc>
          <w:tcPr>
            <w:tcW w:w="921" w:type="dxa"/>
          </w:tcPr>
          <w:p w:rsidR="00000000" w:rsidRDefault="004E0F2F">
            <w:pPr>
              <w:rPr>
                <w:b/>
              </w:rPr>
            </w:pPr>
            <w:r>
              <w:rPr>
                <w:b/>
              </w:rPr>
              <w:t>Artikel 3</w:t>
            </w:r>
          </w:p>
        </w:tc>
        <w:tc>
          <w:tcPr>
            <w:tcW w:w="5386" w:type="dxa"/>
          </w:tcPr>
          <w:p w:rsidR="00000000" w:rsidRDefault="004E0F2F">
            <w:pPr>
              <w:rPr>
                <w:b/>
              </w:rPr>
            </w:pPr>
            <w:r>
              <w:rPr>
                <w:b/>
              </w:rPr>
              <w:t>Omvang van de verzekering</w:t>
            </w:r>
          </w:p>
        </w:tc>
      </w:tr>
      <w:tr w:rsidR="00000000">
        <w:tblPrEx>
          <w:tblCellMar>
            <w:top w:w="0" w:type="dxa"/>
            <w:bottom w:w="0" w:type="dxa"/>
          </w:tblCellMar>
        </w:tblPrEx>
        <w:tc>
          <w:tcPr>
            <w:tcW w:w="921" w:type="dxa"/>
          </w:tcPr>
          <w:p w:rsidR="00000000" w:rsidRDefault="004E0F2F">
            <w:pPr>
              <w:rPr>
                <w:b/>
              </w:rPr>
            </w:pPr>
            <w:r>
              <w:rPr>
                <w:b/>
              </w:rPr>
              <w:t>Artikel 4</w:t>
            </w:r>
          </w:p>
        </w:tc>
        <w:tc>
          <w:tcPr>
            <w:tcW w:w="5386" w:type="dxa"/>
          </w:tcPr>
          <w:p w:rsidR="00000000" w:rsidRDefault="004E0F2F">
            <w:pPr>
              <w:rPr>
                <w:b/>
              </w:rPr>
            </w:pPr>
            <w:r>
              <w:rPr>
                <w:b/>
              </w:rPr>
              <w:t>Uitsluitingen</w:t>
            </w:r>
          </w:p>
        </w:tc>
      </w:tr>
      <w:tr w:rsidR="00000000">
        <w:tblPrEx>
          <w:tblCellMar>
            <w:top w:w="0" w:type="dxa"/>
            <w:bottom w:w="0" w:type="dxa"/>
          </w:tblCellMar>
        </w:tblPrEx>
        <w:tc>
          <w:tcPr>
            <w:tcW w:w="921" w:type="dxa"/>
          </w:tcPr>
          <w:p w:rsidR="00000000" w:rsidRDefault="004E0F2F">
            <w:pPr>
              <w:rPr>
                <w:b/>
              </w:rPr>
            </w:pPr>
            <w:r>
              <w:rPr>
                <w:b/>
              </w:rPr>
              <w:t>Artikel 5</w:t>
            </w:r>
          </w:p>
        </w:tc>
        <w:tc>
          <w:tcPr>
            <w:tcW w:w="5386" w:type="dxa"/>
          </w:tcPr>
          <w:p w:rsidR="00000000" w:rsidRDefault="004E0F2F">
            <w:pPr>
              <w:rPr>
                <w:b/>
              </w:rPr>
            </w:pPr>
            <w:r>
              <w:rPr>
                <w:b/>
              </w:rPr>
              <w:t>Regeling van de vergoeding</w:t>
            </w:r>
          </w:p>
        </w:tc>
      </w:tr>
    </w:tbl>
    <w:p w:rsidR="00000000" w:rsidRDefault="004E0F2F">
      <w:pPr>
        <w:rPr>
          <w:b/>
        </w:rPr>
      </w:pPr>
    </w:p>
    <w:p w:rsidR="00000000" w:rsidRDefault="004E0F2F"/>
    <w:p w:rsidR="00000000" w:rsidRDefault="004E0F2F">
      <w:pPr>
        <w:sectPr w:rsidR="00000000">
          <w:headerReference w:type="default" r:id="rId7"/>
          <w:footerReference w:type="even" r:id="rId8"/>
          <w:footerReference w:type="default" r:id="rId9"/>
          <w:type w:val="continuous"/>
          <w:pgSz w:w="11905" w:h="16838"/>
          <w:pgMar w:top="1701" w:right="851" w:bottom="1134" w:left="851" w:header="425" w:footer="425" w:gutter="0"/>
          <w:cols w:space="708" w:equalWidth="0">
            <w:col w:w="10202" w:space="328"/>
          </w:cols>
        </w:sectPr>
      </w:pPr>
    </w:p>
    <w:p w:rsidR="00000000" w:rsidRDefault="004E0F2F">
      <w:pPr>
        <w:pStyle w:val="Kop2"/>
        <w:numPr>
          <w:ilvl w:val="0"/>
          <w:numId w:val="0"/>
        </w:numPr>
      </w:pPr>
      <w:r>
        <w:lastRenderedPageBreak/>
        <w:t>Artikel 1</w:t>
      </w:r>
    </w:p>
    <w:p w:rsidR="00000000" w:rsidRDefault="004E0F2F">
      <w:pPr>
        <w:pStyle w:val="Kop3"/>
        <w:numPr>
          <w:ilvl w:val="0"/>
          <w:numId w:val="0"/>
        </w:numPr>
      </w:pPr>
      <w:r>
        <w:t>Definiti</w:t>
      </w:r>
      <w:r>
        <w:t>es</w:t>
      </w:r>
    </w:p>
    <w:p w:rsidR="00000000" w:rsidRDefault="004E0F2F">
      <w:pPr>
        <w:sectPr w:rsidR="00000000">
          <w:headerReference w:type="default" r:id="rId10"/>
          <w:type w:val="continuous"/>
          <w:pgSz w:w="11905" w:h="16838"/>
          <w:pgMar w:top="1701" w:right="851" w:bottom="1134" w:left="851" w:header="426" w:footer="425" w:gutter="0"/>
          <w:cols w:space="708"/>
        </w:sectPr>
      </w:pPr>
    </w:p>
    <w:p w:rsidR="00000000" w:rsidRDefault="004E0F2F">
      <w:r>
        <w:lastRenderedPageBreak/>
        <w:t>In de zin van de verzekering wordt verstaan onder:</w:t>
      </w:r>
    </w:p>
    <w:p w:rsidR="00000000" w:rsidRDefault="004E0F2F"/>
    <w:p w:rsidR="00000000" w:rsidRDefault="004E0F2F" w:rsidP="004E0F2F">
      <w:pPr>
        <w:numPr>
          <w:ilvl w:val="0"/>
          <w:numId w:val="2"/>
        </w:numPr>
      </w:pPr>
      <w:r>
        <w:t>motorrijtuig:</w:t>
      </w:r>
    </w:p>
    <w:p w:rsidR="00000000" w:rsidRDefault="004E0F2F" w:rsidP="004E0F2F">
      <w:pPr>
        <w:numPr>
          <w:ilvl w:val="1"/>
          <w:numId w:val="2"/>
        </w:numPr>
      </w:pPr>
      <w:r>
        <w:t>de bij aanvang van de verzekering opgegeven auto;</w:t>
      </w:r>
    </w:p>
    <w:p w:rsidR="00000000" w:rsidRDefault="004E0F2F" w:rsidP="004E0F2F">
      <w:pPr>
        <w:numPr>
          <w:ilvl w:val="1"/>
          <w:numId w:val="2"/>
        </w:numPr>
      </w:pPr>
      <w:r>
        <w:t>Zodra de verzekerde auto is vervangen (ook tijdelijk) door een andere auto, is de verzekering direct en uitsluitend van kracht voor de v</w:t>
      </w:r>
      <w:r>
        <w:t>ervangende auto i</w:t>
      </w:r>
      <w:r>
        <w:t>n</w:t>
      </w:r>
      <w:r>
        <w:t>dien:</w:t>
      </w:r>
    </w:p>
    <w:p w:rsidR="00000000" w:rsidRDefault="004E0F2F" w:rsidP="004E0F2F">
      <w:pPr>
        <w:numPr>
          <w:ilvl w:val="2"/>
          <w:numId w:val="2"/>
        </w:numPr>
      </w:pPr>
      <w:r>
        <w:t xml:space="preserve"> deze auto van hetzelfde soort en voor dezelfde doeleinden wordt gebruikt als de vervangende auto;</w:t>
      </w:r>
    </w:p>
    <w:p w:rsidR="00000000" w:rsidRDefault="004E0F2F" w:rsidP="004E0F2F">
      <w:pPr>
        <w:numPr>
          <w:ilvl w:val="2"/>
          <w:numId w:val="2"/>
        </w:numPr>
      </w:pPr>
      <w:r>
        <w:t>verzekeringnemer slechts deze auto in eigendom heeft of er de beschi</w:t>
      </w:r>
      <w:r>
        <w:t>k</w:t>
      </w:r>
      <w:r>
        <w:t>king over heeft.</w:t>
      </w:r>
    </w:p>
    <w:p w:rsidR="00000000" w:rsidRDefault="004E0F2F">
      <w:pPr>
        <w:rPr>
          <w:rFonts w:ascii="Univers" w:hAnsi="Univers"/>
        </w:rPr>
      </w:pPr>
      <w:r>
        <w:t>In alle andere gevallen is hij verplicht van de</w:t>
      </w:r>
      <w:r>
        <w:t xml:space="preserve"> vervanging aan verzekeraar direct kennis te geven. De dekking gaat in dat geval in na acceptatie door verzek</w:t>
      </w:r>
      <w:r>
        <w:t>e</w:t>
      </w:r>
      <w:r>
        <w:t>raar.</w:t>
      </w:r>
    </w:p>
    <w:p w:rsidR="00000000" w:rsidRDefault="004E0F2F"/>
    <w:p w:rsidR="00000000" w:rsidRDefault="004E0F2F" w:rsidP="004E0F2F">
      <w:pPr>
        <w:numPr>
          <w:ilvl w:val="0"/>
          <w:numId w:val="2"/>
        </w:numPr>
      </w:pPr>
      <w:r>
        <w:t xml:space="preserve">verzekerde: </w:t>
      </w:r>
    </w:p>
    <w:p w:rsidR="00000000" w:rsidRDefault="004E0F2F" w:rsidP="004E0F2F">
      <w:pPr>
        <w:numPr>
          <w:ilvl w:val="1"/>
          <w:numId w:val="2"/>
        </w:numPr>
      </w:pPr>
      <w:r>
        <w:t xml:space="preserve">degene op wiens naam de verzekering loopt (verzekeringnemer); </w:t>
      </w:r>
    </w:p>
    <w:p w:rsidR="00000000" w:rsidRDefault="004E0F2F" w:rsidP="004E0F2F">
      <w:pPr>
        <w:numPr>
          <w:ilvl w:val="1"/>
          <w:numId w:val="2"/>
        </w:numPr>
      </w:pPr>
      <w:r>
        <w:t>de door verzekeringnemer gemachtigde bestuurder, de eigenaar, d</w:t>
      </w:r>
      <w:r>
        <w:t>e houder en de met het motorrijtuig vervoerde pers</w:t>
      </w:r>
      <w:r>
        <w:t>o</w:t>
      </w:r>
      <w:r>
        <w:t>nen</w:t>
      </w:r>
    </w:p>
    <w:p w:rsidR="00000000" w:rsidRDefault="004E0F2F"/>
    <w:p w:rsidR="00000000" w:rsidRDefault="004E0F2F" w:rsidP="004E0F2F">
      <w:pPr>
        <w:numPr>
          <w:ilvl w:val="0"/>
          <w:numId w:val="2"/>
        </w:numPr>
      </w:pPr>
      <w:r>
        <w:t xml:space="preserve">schade: </w:t>
      </w:r>
    </w:p>
    <w:p w:rsidR="00000000" w:rsidRDefault="004E0F2F" w:rsidP="004E0F2F">
      <w:pPr>
        <w:numPr>
          <w:ilvl w:val="1"/>
          <w:numId w:val="2"/>
        </w:numPr>
      </w:pPr>
      <w:r>
        <w:t xml:space="preserve">onder schade aan personen wordt verstaan: schade door letsel of aantasting van de gezondheid van personen, al dan niet de dood ten gevolge hebbend, met inbegrip van de daaruit voortvloeiende </w:t>
      </w:r>
      <w:r>
        <w:t>sch</w:t>
      </w:r>
      <w:r>
        <w:t>a</w:t>
      </w:r>
      <w:r>
        <w:t>de.</w:t>
      </w:r>
    </w:p>
    <w:p w:rsidR="00000000" w:rsidRDefault="004E0F2F" w:rsidP="004E0F2F">
      <w:pPr>
        <w:numPr>
          <w:ilvl w:val="1"/>
          <w:numId w:val="2"/>
        </w:numPr>
      </w:pPr>
      <w:r>
        <w:t xml:space="preserve">onder schade aan zaken wordt verstaan: schade door beschadiging en/of vernietiging en/of verloren gaan van zaken die behoren tot de particuliere huishoudig van verzekerde, met uitzondering van motorrijtuigen, geld en geldwaardig papier. </w:t>
      </w:r>
    </w:p>
    <w:p w:rsidR="00000000" w:rsidRDefault="004E0F2F"/>
    <w:p w:rsidR="00000000" w:rsidRDefault="004E0F2F" w:rsidP="004E0F2F">
      <w:pPr>
        <w:numPr>
          <w:ilvl w:val="0"/>
          <w:numId w:val="2"/>
        </w:numPr>
      </w:pPr>
      <w:r>
        <w:t>ongeval:</w:t>
      </w:r>
      <w:r>
        <w:tab/>
      </w:r>
    </w:p>
    <w:p w:rsidR="00000000" w:rsidRDefault="004E0F2F">
      <w:r>
        <w:t>onder een ongeval wordt verstaan een botsing, aan- of overrijding, brand, blikse</w:t>
      </w:r>
      <w:r>
        <w:t>m</w:t>
      </w:r>
      <w:r>
        <w:t>inslag, te water geraken waarbij een motorrijtuig is betrokken en waarbij schade zoals hierboven nader gedefinieerd is wordt veroorzaakt.</w:t>
      </w:r>
    </w:p>
    <w:p w:rsidR="00000000" w:rsidRDefault="004E0F2F"/>
    <w:p w:rsidR="00000000" w:rsidRDefault="004E0F2F">
      <w:pPr>
        <w:pStyle w:val="Kop2"/>
        <w:numPr>
          <w:ilvl w:val="0"/>
          <w:numId w:val="0"/>
        </w:numPr>
      </w:pPr>
      <w:r>
        <w:t>Artikel 2</w:t>
      </w:r>
    </w:p>
    <w:p w:rsidR="00000000" w:rsidRDefault="004E0F2F">
      <w:pPr>
        <w:pStyle w:val="Kop3"/>
        <w:numPr>
          <w:ilvl w:val="0"/>
          <w:numId w:val="0"/>
        </w:numPr>
      </w:pPr>
      <w:r>
        <w:t>Verzekeringsgebied</w:t>
      </w:r>
    </w:p>
    <w:p w:rsidR="00000000" w:rsidRDefault="004E0F2F">
      <w:r>
        <w:t>De ver</w:t>
      </w:r>
      <w:r>
        <w:t>zekering is van kracht in Europa en de niet-Europese landen aan de Midde</w:t>
      </w:r>
      <w:r>
        <w:t>l</w:t>
      </w:r>
      <w:r>
        <w:t>landse Zee.</w:t>
      </w:r>
    </w:p>
    <w:p w:rsidR="00000000" w:rsidRDefault="004E0F2F"/>
    <w:p w:rsidR="00000000" w:rsidRDefault="004E0F2F">
      <w:pPr>
        <w:pStyle w:val="Kop2"/>
        <w:numPr>
          <w:ilvl w:val="0"/>
          <w:numId w:val="0"/>
        </w:numPr>
      </w:pPr>
      <w:r>
        <w:t>Artikel 3</w:t>
      </w:r>
    </w:p>
    <w:p w:rsidR="00000000" w:rsidRDefault="004E0F2F">
      <w:pPr>
        <w:pStyle w:val="Kop3"/>
        <w:numPr>
          <w:ilvl w:val="0"/>
          <w:numId w:val="0"/>
        </w:numPr>
        <w:rPr>
          <w:b w:val="0"/>
        </w:rPr>
      </w:pPr>
      <w:r>
        <w:t>Omvang van de verzekering</w:t>
      </w:r>
    </w:p>
    <w:p w:rsidR="00000000" w:rsidRDefault="004E0F2F">
      <w:r>
        <w:t>Verzekeraar vergoedt tot maximaal het op het polisblad genoemde bedrag voor alle inzittenden, onder wie de bestuurder, van het motorri</w:t>
      </w:r>
      <w:r>
        <w:t>jtuig tezamen als gevolg van een ongeval:</w:t>
      </w:r>
    </w:p>
    <w:p w:rsidR="00000000" w:rsidRDefault="004E0F2F" w:rsidP="004E0F2F">
      <w:pPr>
        <w:numPr>
          <w:ilvl w:val="1"/>
          <w:numId w:val="3"/>
        </w:numPr>
      </w:pPr>
      <w:r>
        <w:t>aan de inzittenden:</w:t>
      </w:r>
    </w:p>
    <w:p w:rsidR="00000000" w:rsidRDefault="004E0F2F" w:rsidP="004E0F2F">
      <w:pPr>
        <w:numPr>
          <w:ilvl w:val="2"/>
          <w:numId w:val="3"/>
        </w:numPr>
      </w:pPr>
      <w:r>
        <w:t>de materiële gevolgschade van lichamelijk of geestelijk letsel, opgelopen terwijl zij zich in het motorrijtuig bevinden, daar in of daar uit stappen of o</w:t>
      </w:r>
      <w:r>
        <w:t>n</w:t>
      </w:r>
      <w:r>
        <w:t>derweg een noodreparatie aan het motorri</w:t>
      </w:r>
      <w:r>
        <w:t>jtuig verrichten of in de onmiddelli</w:t>
      </w:r>
      <w:r>
        <w:t>j</w:t>
      </w:r>
      <w:r>
        <w:t>ke nabijheid van het motorrijtuig daarbij behulpzaam zijn of in de naaste o</w:t>
      </w:r>
      <w:r>
        <w:t>m</w:t>
      </w:r>
      <w:r>
        <w:t>geving hulp inro</w:t>
      </w:r>
      <w:r>
        <w:t>e</w:t>
      </w:r>
      <w:r>
        <w:t>pen;</w:t>
      </w:r>
    </w:p>
    <w:p w:rsidR="00000000" w:rsidRDefault="004E0F2F" w:rsidP="004E0F2F">
      <w:pPr>
        <w:numPr>
          <w:ilvl w:val="2"/>
          <w:numId w:val="3"/>
        </w:numPr>
      </w:pPr>
      <w:r>
        <w:t>schade als omschreven in artikel 6:106 van het Burgerlijk Wetboek (sma</w:t>
      </w:r>
      <w:r>
        <w:t>r</w:t>
      </w:r>
      <w:r>
        <w:t>tengeld) en de kosten als omschreven in artikel 6:</w:t>
      </w:r>
      <w:r>
        <w:t>96 lid 2 en artikel 6:107 van het Burgerlijk We</w:t>
      </w:r>
      <w:r>
        <w:t>t</w:t>
      </w:r>
      <w:r>
        <w:t>boek;</w:t>
      </w:r>
    </w:p>
    <w:p w:rsidR="00000000" w:rsidRDefault="004E0F2F" w:rsidP="004E0F2F">
      <w:pPr>
        <w:numPr>
          <w:ilvl w:val="2"/>
          <w:numId w:val="3"/>
        </w:numPr>
      </w:pPr>
      <w:r>
        <w:lastRenderedPageBreak/>
        <w:t>de kosten van geneeskundige behandeling,</w:t>
      </w:r>
    </w:p>
    <w:p w:rsidR="00000000" w:rsidRDefault="004E0F2F" w:rsidP="004E0F2F">
      <w:pPr>
        <w:numPr>
          <w:ilvl w:val="2"/>
          <w:numId w:val="3"/>
        </w:numPr>
      </w:pPr>
      <w:r>
        <w:t>de schade aan of het verlies van hun toebehorende, met het motorrijtuig vervoerde zaken die behoren tot de particuliere huishouding van verzekerde, met uitzonder</w:t>
      </w:r>
      <w:r>
        <w:t>ing van motorrijtuigen, geld en geldwaardig papier tot het b</w:t>
      </w:r>
      <w:r>
        <w:t>e</w:t>
      </w:r>
      <w:r>
        <w:t>drag van de reparatiekosten respectievelijk tot de waarde van de zaken o</w:t>
      </w:r>
      <w:r>
        <w:t>n</w:t>
      </w:r>
      <w:r>
        <w:t>middellijk voor de gebeurtenis onder aftrek van de opbrengst van de resta</w:t>
      </w:r>
      <w:r>
        <w:t>n</w:t>
      </w:r>
      <w:r>
        <w:t>ten, voor zover deze zaken niet tot enige handel</w:t>
      </w:r>
      <w:r>
        <w:t>svoorraad behoren of geacht kunnen worden speciale voorzieningen of accessoires te zijn.</w:t>
      </w:r>
    </w:p>
    <w:p w:rsidR="00000000" w:rsidRDefault="004E0F2F" w:rsidP="004E0F2F">
      <w:pPr>
        <w:numPr>
          <w:ilvl w:val="1"/>
          <w:numId w:val="3"/>
        </w:numPr>
      </w:pPr>
      <w:r>
        <w:t>aan de personen genoemd in artikel 6:108 van het Burgerlijk Wetboek: de schade door het derven van levensonderhoud, op de voet van artikel 6:108 lid 1 van het Burgerli</w:t>
      </w:r>
      <w:r>
        <w:t>jk Wetboek.</w:t>
      </w:r>
    </w:p>
    <w:p w:rsidR="00000000" w:rsidRDefault="004E0F2F"/>
    <w:p w:rsidR="00000000" w:rsidRDefault="004E0F2F">
      <w:r>
        <w:t>Verzekeraar vergoedt bovendien de kosten, voor zover die met zijn toestemming of in zijn opdracht zijn gemaakt.</w:t>
      </w:r>
    </w:p>
    <w:p w:rsidR="00000000" w:rsidRDefault="004E0F2F"/>
    <w:p w:rsidR="00000000" w:rsidRDefault="004E0F2F">
      <w:pPr>
        <w:pStyle w:val="Kop2"/>
        <w:numPr>
          <w:ilvl w:val="0"/>
          <w:numId w:val="0"/>
        </w:numPr>
      </w:pPr>
      <w:r>
        <w:t>Artikel 4</w:t>
      </w:r>
    </w:p>
    <w:p w:rsidR="00000000" w:rsidRDefault="004E0F2F">
      <w:pPr>
        <w:pStyle w:val="Kop3"/>
        <w:numPr>
          <w:ilvl w:val="0"/>
          <w:numId w:val="0"/>
        </w:numPr>
      </w:pPr>
      <w:r>
        <w:t>Uitsluitingen</w:t>
      </w:r>
    </w:p>
    <w:p w:rsidR="00000000" w:rsidRDefault="004E0F2F">
      <w:r>
        <w:t>Niet gedekt is dat deel van de schade dat de inzittenden als gevolg van het aa</w:t>
      </w:r>
      <w:r>
        <w:t>n</w:t>
      </w:r>
      <w:r>
        <w:t xml:space="preserve">vaarden van risico dan wel </w:t>
      </w:r>
      <w:r>
        <w:t>als gevolg van eigen schuld voor eigen rekening moeten nemen. Zulks geldt in elk geval, doch onverminderd andere omstandigheden die risicoaanvaarding dan wel eigen schuld met zich brengen, voor:</w:t>
      </w:r>
    </w:p>
    <w:p w:rsidR="00000000" w:rsidRDefault="004E0F2F" w:rsidP="004E0F2F">
      <w:pPr>
        <w:numPr>
          <w:ilvl w:val="1"/>
          <w:numId w:val="4"/>
        </w:numPr>
      </w:pPr>
      <w:r>
        <w:t>het rijden onder zodanige invloed van alcoholhoudende drank o</w:t>
      </w:r>
      <w:r>
        <w:t>f een b</w:t>
      </w:r>
      <w:r>
        <w:t>e</w:t>
      </w:r>
      <w:r>
        <w:t>dwelmend of opwekkend middel dat de bestuurder niet in staat moest wo</w:t>
      </w:r>
      <w:r>
        <w:t>r</w:t>
      </w:r>
      <w:r>
        <w:t>den geacht het motorrijtuig naar behoren te besturen. Hiervan is in ieder g</w:t>
      </w:r>
      <w:r>
        <w:t>e</w:t>
      </w:r>
      <w:r>
        <w:t xml:space="preserve">val sprake als het alcoholgehalte van de adem meer was dan 220 mg alcohol per liter uitgeademde lucht </w:t>
      </w:r>
      <w:r>
        <w:t>dan wel als het alcoholgehalte van het bloed meer was dan 0.5 mg alcohol per milliliter bloed;;</w:t>
      </w:r>
    </w:p>
    <w:p w:rsidR="00000000" w:rsidRDefault="004E0F2F" w:rsidP="004E0F2F">
      <w:pPr>
        <w:numPr>
          <w:ilvl w:val="1"/>
          <w:numId w:val="4"/>
        </w:numPr>
      </w:pPr>
      <w:r>
        <w:t>de schade welke is veroorzaakt tijdens het verblijf op racebanen, circuits e.d. en tijdens het oefenen voor of deelnemen aan snelheids-, regelmatigheids- of beh</w:t>
      </w:r>
      <w:r>
        <w:t>endigheidsritten of -wedstrijden. Deze uitsluiting geldt niet voor schade tijdens eenvoudige, geheel binnen Nederland op de openbare weg gereden betrouwbaarheids-, gezelligheids-, kaartlees-, puzzelritten e.d. niet langer dan 250 kil</w:t>
      </w:r>
      <w:r>
        <w:t>o</w:t>
      </w:r>
      <w:r>
        <w:t>meter en van ten hoogs</w:t>
      </w:r>
      <w:r>
        <w:t>te 24 uur;</w:t>
      </w:r>
    </w:p>
    <w:p w:rsidR="00000000" w:rsidRDefault="004E0F2F" w:rsidP="004E0F2F">
      <w:pPr>
        <w:numPr>
          <w:ilvl w:val="1"/>
          <w:numId w:val="4"/>
        </w:numPr>
      </w:pPr>
      <w:r>
        <w:t>tijdens gebruik van het motorrijtuig voor rijles, verhuur, betaald personen- of goederenvervoer (waaronder niet te verstaan “pooling” van autoritten in woon-werkverkeer, naar evenementen e.d.)of een ander doel dan bij de wet is toeg</w:t>
      </w:r>
      <w:r>
        <w:t>e</w:t>
      </w:r>
      <w:r>
        <w:t>staan, tenzi</w:t>
      </w:r>
      <w:r>
        <w:t>j anders is overeengekomen;</w:t>
      </w:r>
    </w:p>
    <w:p w:rsidR="00000000" w:rsidRDefault="004E0F2F" w:rsidP="004E0F2F">
      <w:pPr>
        <w:numPr>
          <w:ilvl w:val="1"/>
          <w:numId w:val="4"/>
        </w:numPr>
      </w:pPr>
      <w:r>
        <w:t>terwijl aan het motorrijtuig een voertuig is gekoppeld, tenzij anders is ove</w:t>
      </w:r>
      <w:r>
        <w:t>r</w:t>
      </w:r>
      <w:r>
        <w:t>eeng</w:t>
      </w:r>
      <w:r>
        <w:t>e</w:t>
      </w:r>
      <w:r>
        <w:t>komen. Deze uitsluiting geldt niet:</w:t>
      </w:r>
    </w:p>
    <w:p w:rsidR="00000000" w:rsidRDefault="004E0F2F" w:rsidP="004E0F2F">
      <w:pPr>
        <w:numPr>
          <w:ilvl w:val="1"/>
          <w:numId w:val="4"/>
        </w:numPr>
      </w:pPr>
      <w:r>
        <w:t>indien een motorrijtuig bij wijze van vriendendienst wordt g</w:t>
      </w:r>
      <w:r>
        <w:t>e</w:t>
      </w:r>
      <w:r>
        <w:t>sleept,</w:t>
      </w:r>
    </w:p>
    <w:p w:rsidR="00000000" w:rsidRDefault="004E0F2F" w:rsidP="004E0F2F">
      <w:pPr>
        <w:numPr>
          <w:ilvl w:val="1"/>
          <w:numId w:val="4"/>
        </w:numPr>
      </w:pPr>
      <w:r>
        <w:t>voor een aanhangwagen of een caravan;</w:t>
      </w:r>
    </w:p>
    <w:p w:rsidR="00000000" w:rsidRDefault="004E0F2F" w:rsidP="004E0F2F">
      <w:pPr>
        <w:numPr>
          <w:ilvl w:val="1"/>
          <w:numId w:val="4"/>
        </w:numPr>
      </w:pPr>
      <w:r>
        <w:t>ind</w:t>
      </w:r>
      <w:r>
        <w:t>ien de feitelijke bestuurder niet in het bezit is van een geldig voor het betrokken motorrijtuig wettelijk voorgeschreven rijbewijs. Als geldig rijbewijs wordt wel aangemerkt een rijbewijs dat zijn geldigheid heeft verloren door het verstrijken van de in d</w:t>
      </w:r>
      <w:r>
        <w:t>e wet genoemde geldigheidsduur, tenzij de leeftijd van zeventig jaar is bereikt;</w:t>
      </w:r>
    </w:p>
    <w:p w:rsidR="00000000" w:rsidRDefault="004E0F2F" w:rsidP="004E0F2F">
      <w:pPr>
        <w:numPr>
          <w:ilvl w:val="1"/>
          <w:numId w:val="4"/>
        </w:numPr>
      </w:pPr>
      <w:r>
        <w:t>indien de rijbevoegdheid van de feitelijke bestuurder onvoorwaardelijk is ontzegd krachtens een onherroepelijke gerechtelijke uitspraak, dan wel hij krachtens we</w:t>
      </w:r>
      <w:r>
        <w:t>t</w:t>
      </w:r>
      <w:r>
        <w:t>telijke bepal</w:t>
      </w:r>
      <w:r>
        <w:t>ingen niet bevoegd is het motorrijtuig te besturen.</w:t>
      </w:r>
    </w:p>
    <w:p w:rsidR="00000000" w:rsidRDefault="004E0F2F"/>
    <w:p w:rsidR="00000000" w:rsidRDefault="004E0F2F"/>
    <w:p w:rsidR="00000000" w:rsidRDefault="004E0F2F">
      <w:pPr>
        <w:pStyle w:val="Kop2"/>
        <w:numPr>
          <w:ilvl w:val="0"/>
          <w:numId w:val="0"/>
        </w:numPr>
      </w:pPr>
      <w:r>
        <w:lastRenderedPageBreak/>
        <w:t>Artikel 5</w:t>
      </w:r>
    </w:p>
    <w:p w:rsidR="00000000" w:rsidRDefault="004E0F2F">
      <w:pPr>
        <w:pStyle w:val="Kop3"/>
        <w:numPr>
          <w:ilvl w:val="0"/>
          <w:numId w:val="0"/>
        </w:numPr>
      </w:pPr>
      <w:r>
        <w:t>Regeling van de vergoeding</w:t>
      </w:r>
    </w:p>
    <w:p w:rsidR="00000000" w:rsidRDefault="004E0F2F">
      <w:r>
        <w:t>Indien meer personen rechten aan deze verzekering kunnen ontlenen en hun gezamenlijke schade het verzekerde bedrag overschrijdt, zal hun schade naar evenredigheid ve</w:t>
      </w:r>
      <w:r>
        <w:t>rgoed worden.</w:t>
      </w:r>
    </w:p>
    <w:p w:rsidR="00000000" w:rsidRDefault="004E0F2F"/>
    <w:p w:rsidR="00000000" w:rsidRDefault="004E0F2F"/>
    <w:p w:rsidR="00000000" w:rsidRDefault="004E0F2F"/>
    <w:p w:rsidR="00000000" w:rsidRDefault="004E0F2F"/>
    <w:sectPr w:rsidR="00000000">
      <w:type w:val="continuous"/>
      <w:pgSz w:w="11905" w:h="16838"/>
      <w:pgMar w:top="1701" w:right="851" w:bottom="1134" w:left="851" w:header="426" w:footer="425" w:gutter="0"/>
      <w:cols w:num="2" w:space="708" w:equalWidth="0">
        <w:col w:w="4941" w:space="328"/>
        <w:col w:w="493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E0F2F">
      <w:r>
        <w:separator/>
      </w:r>
    </w:p>
  </w:endnote>
  <w:endnote w:type="continuationSeparator" w:id="1">
    <w:p w:rsidR="00000000" w:rsidRDefault="004E0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ormata Condensed Light">
    <w:altName w:val="Arial Narro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0F2F">
    <w:pPr>
      <w:pStyle w:val="Voettekst"/>
    </w:pPr>
    <w:r>
      <w:rPr>
        <w:rFonts w:ascii="Univers" w:hAnsi="Univers"/>
      </w:rPr>
      <w:tab/>
      <w:t xml:space="preserve">                Pagina </w:t>
    </w:r>
    <w:r>
      <w:rPr>
        <w:rStyle w:val="Paginanummer"/>
        <w:rFonts w:ascii="Univers" w:hAnsi="Univers"/>
      </w:rPr>
      <w:fldChar w:fldCharType="begin"/>
    </w:r>
    <w:r>
      <w:rPr>
        <w:rStyle w:val="Paginanummer"/>
        <w:rFonts w:ascii="Univers" w:hAnsi="Univers"/>
      </w:rPr>
      <w:instrText xml:space="preserve"> PAGE </w:instrText>
    </w:r>
    <w:r>
      <w:rPr>
        <w:rStyle w:val="Paginanummer"/>
        <w:rFonts w:ascii="Univers" w:hAnsi="Univers"/>
      </w:rPr>
      <w:fldChar w:fldCharType="separate"/>
    </w:r>
    <w:r>
      <w:rPr>
        <w:rStyle w:val="Paginanummer"/>
        <w:rFonts w:ascii="Univers" w:hAnsi="Univers"/>
        <w:noProof/>
      </w:rPr>
      <w:t>2</w:t>
    </w:r>
    <w:r>
      <w:rPr>
        <w:rStyle w:val="Paginanummer"/>
        <w:rFonts w:ascii="Univers" w:hAnsi="Univers"/>
      </w:rPr>
      <w:fldChar w:fldCharType="end"/>
    </w:r>
    <w:r>
      <w:rPr>
        <w:rStyle w:val="Paginanummer"/>
        <w:rFonts w:ascii="Univers" w:hAnsi="Univers"/>
      </w:rPr>
      <w:t xml:space="preserve"> van 2                   </w:t>
    </w:r>
    <w:r>
      <w:rPr>
        <w:rStyle w:val="Paginanummer"/>
        <w:rFonts w:ascii="Univers" w:hAnsi="Univers"/>
      </w:rPr>
      <w:tab/>
      <w:t xml:space="preserve">                                                           SVI021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0F2F">
    <w:pPr>
      <w:pStyle w:val="Voettekst"/>
      <w:rPr>
        <w:rFonts w:ascii="Univers" w:hAnsi="Univers"/>
      </w:rPr>
    </w:pPr>
    <w:r>
      <w:rPr>
        <w:rFonts w:ascii="Univers" w:hAnsi="Univers"/>
      </w:rPr>
      <w:tab/>
      <w:t xml:space="preserve">               Pagina </w:t>
    </w:r>
    <w:r>
      <w:rPr>
        <w:rStyle w:val="Paginanummer"/>
        <w:rFonts w:ascii="Univers" w:hAnsi="Univers"/>
      </w:rPr>
      <w:fldChar w:fldCharType="begin"/>
    </w:r>
    <w:r>
      <w:rPr>
        <w:rStyle w:val="Paginanummer"/>
        <w:rFonts w:ascii="Univers" w:hAnsi="Univers"/>
      </w:rPr>
      <w:instrText xml:space="preserve"> PAGE </w:instrText>
    </w:r>
    <w:r>
      <w:rPr>
        <w:rStyle w:val="Paginanummer"/>
        <w:rFonts w:ascii="Univers" w:hAnsi="Univers"/>
      </w:rPr>
      <w:fldChar w:fldCharType="separate"/>
    </w:r>
    <w:r>
      <w:rPr>
        <w:rStyle w:val="Paginanummer"/>
        <w:rFonts w:ascii="Univers" w:hAnsi="Univers"/>
        <w:noProof/>
      </w:rPr>
      <w:t>1</w:t>
    </w:r>
    <w:r>
      <w:rPr>
        <w:rStyle w:val="Paginanummer"/>
        <w:rFonts w:ascii="Univers" w:hAnsi="Univers"/>
      </w:rPr>
      <w:fldChar w:fldCharType="end"/>
    </w:r>
    <w:r>
      <w:rPr>
        <w:rStyle w:val="Paginanummer"/>
        <w:rFonts w:ascii="Univers" w:hAnsi="Univers"/>
      </w:rPr>
      <w:t xml:space="preserve"> van 2</w:t>
    </w:r>
    <w:r>
      <w:rPr>
        <w:rStyle w:val="Paginanummer"/>
        <w:rFonts w:ascii="Univers" w:hAnsi="Univers"/>
      </w:rPr>
      <w:tab/>
    </w:r>
    <w:r>
      <w:rPr>
        <w:rStyle w:val="Paginanummer"/>
        <w:rFonts w:ascii="Univers" w:hAnsi="Univers"/>
      </w:rPr>
      <w:tab/>
      <w:t xml:space="preserve">        SVI021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E0F2F">
      <w:r>
        <w:separator/>
      </w:r>
    </w:p>
  </w:footnote>
  <w:footnote w:type="continuationSeparator" w:id="1">
    <w:p w:rsidR="00000000" w:rsidRDefault="004E0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0F2F">
    <w:pPr>
      <w:pStyle w:val="Koptekst"/>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E0F2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7A5A"/>
    <w:multiLevelType w:val="multilevel"/>
    <w:tmpl w:val="879C0286"/>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nsid w:val="28D82E4F"/>
    <w:multiLevelType w:val="multilevel"/>
    <w:tmpl w:val="06C2B76A"/>
    <w:lvl w:ilvl="0">
      <w:start w:val="1"/>
      <w:numFmt w:val="decimal"/>
      <w:lvlText w:val="1.%1"/>
      <w:lvlJc w:val="left"/>
      <w:pPr>
        <w:tabs>
          <w:tab w:val="num" w:pos="397"/>
        </w:tabs>
        <w:ind w:left="397" w:hanging="397"/>
      </w:pPr>
    </w:lvl>
    <w:lvl w:ilvl="1">
      <w:start w:val="1"/>
      <w:numFmt w:val="lowerLetter"/>
      <w:lvlText w:val="%2."/>
      <w:lvlJc w:val="left"/>
      <w:pPr>
        <w:tabs>
          <w:tab w:val="num" w:pos="397"/>
        </w:tabs>
        <w:ind w:left="397" w:hanging="397"/>
      </w:pPr>
    </w:lvl>
    <w:lvl w:ilvl="2">
      <w:start w:val="1"/>
      <w:numFmt w:val="bullet"/>
      <w:lvlText w:val=""/>
      <w:lvlJc w:val="left"/>
      <w:pPr>
        <w:tabs>
          <w:tab w:val="num" w:pos="530"/>
        </w:tabs>
        <w:ind w:left="397" w:hanging="227"/>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
    <w:nsid w:val="393B46B5"/>
    <w:multiLevelType w:val="multilevel"/>
    <w:tmpl w:val="06C2B76A"/>
    <w:lvl w:ilvl="0">
      <w:start w:val="1"/>
      <w:numFmt w:val="decimal"/>
      <w:lvlText w:val="1.%1"/>
      <w:lvlJc w:val="left"/>
      <w:pPr>
        <w:tabs>
          <w:tab w:val="num" w:pos="397"/>
        </w:tabs>
        <w:ind w:left="397" w:hanging="397"/>
      </w:pPr>
    </w:lvl>
    <w:lvl w:ilvl="1">
      <w:start w:val="1"/>
      <w:numFmt w:val="lowerLetter"/>
      <w:lvlText w:val="%2."/>
      <w:lvlJc w:val="left"/>
      <w:pPr>
        <w:tabs>
          <w:tab w:val="num" w:pos="397"/>
        </w:tabs>
        <w:ind w:left="397" w:hanging="397"/>
      </w:pPr>
    </w:lvl>
    <w:lvl w:ilvl="2">
      <w:start w:val="1"/>
      <w:numFmt w:val="bullet"/>
      <w:lvlText w:val=""/>
      <w:lvlJc w:val="left"/>
      <w:pPr>
        <w:tabs>
          <w:tab w:val="num" w:pos="530"/>
        </w:tabs>
        <w:ind w:left="397" w:hanging="227"/>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nsid w:val="6A4D5961"/>
    <w:multiLevelType w:val="multilevel"/>
    <w:tmpl w:val="06C2B76A"/>
    <w:lvl w:ilvl="0">
      <w:start w:val="1"/>
      <w:numFmt w:val="decimal"/>
      <w:lvlText w:val="1.%1"/>
      <w:lvlJc w:val="left"/>
      <w:pPr>
        <w:tabs>
          <w:tab w:val="num" w:pos="397"/>
        </w:tabs>
        <w:ind w:left="397" w:hanging="397"/>
      </w:pPr>
    </w:lvl>
    <w:lvl w:ilvl="1">
      <w:start w:val="1"/>
      <w:numFmt w:val="lowerLetter"/>
      <w:lvlText w:val="%2."/>
      <w:lvlJc w:val="left"/>
      <w:pPr>
        <w:tabs>
          <w:tab w:val="num" w:pos="397"/>
        </w:tabs>
        <w:ind w:left="397" w:hanging="397"/>
      </w:pPr>
    </w:lvl>
    <w:lvl w:ilvl="2">
      <w:start w:val="1"/>
      <w:numFmt w:val="bullet"/>
      <w:lvlText w:val=""/>
      <w:lvlJc w:val="left"/>
      <w:pPr>
        <w:tabs>
          <w:tab w:val="num" w:pos="530"/>
        </w:tabs>
        <w:ind w:left="397" w:hanging="227"/>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34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4E0F2F"/>
    <w:rsid w:val="004E0F2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utoRedefine/>
    <w:qFormat/>
    <w:rPr>
      <w:rFonts w:ascii="Formata Condensed Light" w:hAnsi="Formata Condensed Light"/>
      <w:sz w:val="16"/>
    </w:rPr>
  </w:style>
  <w:style w:type="paragraph" w:styleId="Kop1">
    <w:name w:val="heading 1"/>
    <w:basedOn w:val="Koptekst"/>
    <w:next w:val="Standaard"/>
    <w:qFormat/>
    <w:pPr>
      <w:keepLines/>
      <w:numPr>
        <w:numId w:val="1"/>
      </w:numPr>
      <w:pBdr>
        <w:bottom w:val="none" w:sz="0" w:space="0" w:color="auto"/>
      </w:pBdr>
      <w:spacing w:after="240"/>
      <w:outlineLvl w:val="0"/>
    </w:pPr>
    <w:rPr>
      <w:kern w:val="28"/>
    </w:rPr>
  </w:style>
  <w:style w:type="paragraph" w:styleId="Kop2">
    <w:name w:val="heading 2"/>
    <w:basedOn w:val="Standaard"/>
    <w:next w:val="Standaard"/>
    <w:qFormat/>
    <w:pPr>
      <w:keepNext/>
      <w:numPr>
        <w:ilvl w:val="1"/>
        <w:numId w:val="1"/>
      </w:numPr>
      <w:pBdr>
        <w:bottom w:val="single" w:sz="4" w:space="1" w:color="auto"/>
      </w:pBdr>
      <w:spacing w:before="120"/>
      <w:outlineLvl w:val="1"/>
    </w:pPr>
    <w:rPr>
      <w:b/>
      <w:caps/>
      <w:sz w:val="20"/>
    </w:rPr>
  </w:style>
  <w:style w:type="paragraph" w:styleId="Kop3">
    <w:name w:val="heading 3"/>
    <w:basedOn w:val="Standaard"/>
    <w:next w:val="Standaard"/>
    <w:qFormat/>
    <w:pPr>
      <w:keepNext/>
      <w:numPr>
        <w:ilvl w:val="2"/>
        <w:numId w:val="1"/>
      </w:numPr>
      <w:spacing w:after="120"/>
      <w:outlineLvl w:val="2"/>
    </w:pPr>
    <w:rPr>
      <w:b/>
    </w:rPr>
  </w:style>
  <w:style w:type="paragraph" w:styleId="Kop4">
    <w:name w:val="heading 4"/>
    <w:basedOn w:val="Standaard"/>
    <w:next w:val="Standaard"/>
    <w:qFormat/>
    <w:pPr>
      <w:keepNext/>
      <w:numPr>
        <w:ilvl w:val="3"/>
        <w:numId w:val="1"/>
      </w:numPr>
      <w:spacing w:before="240" w:after="60"/>
      <w:outlineLvl w:val="3"/>
    </w:pPr>
  </w:style>
  <w:style w:type="paragraph" w:styleId="Kop5">
    <w:name w:val="heading 5"/>
    <w:basedOn w:val="Standaard"/>
    <w:next w:val="Standaard"/>
    <w:qFormat/>
    <w:pPr>
      <w:numPr>
        <w:ilvl w:val="4"/>
        <w:numId w:val="1"/>
      </w:numPr>
      <w:spacing w:before="240" w:after="60"/>
      <w:outlineLvl w:val="4"/>
    </w:pPr>
    <w:rPr>
      <w:sz w:val="22"/>
    </w:rPr>
  </w:style>
  <w:style w:type="paragraph" w:styleId="Kop6">
    <w:name w:val="heading 6"/>
    <w:basedOn w:val="Standaard"/>
    <w:next w:val="Standaard"/>
    <w:qFormat/>
    <w:pPr>
      <w:numPr>
        <w:ilvl w:val="5"/>
        <w:numId w:val="1"/>
      </w:numPr>
      <w:spacing w:before="240" w:after="60"/>
      <w:outlineLvl w:val="5"/>
    </w:pPr>
    <w:rPr>
      <w:rFonts w:ascii="Times New Roman" w:hAnsi="Times New Roman"/>
      <w:i/>
      <w:sz w:val="22"/>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b/>
      <w:i/>
      <w:sz w:val="1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pPr>
      <w:tabs>
        <w:tab w:val="center" w:pos="4536"/>
        <w:tab w:val="right" w:pos="9072"/>
      </w:tabs>
    </w:pPr>
    <w:rPr>
      <w:sz w:val="14"/>
    </w:rPr>
  </w:style>
  <w:style w:type="paragraph" w:styleId="Koptekst">
    <w:name w:val="header"/>
    <w:basedOn w:val="Standaard"/>
    <w:next w:val="Standaard"/>
    <w:semiHidden/>
    <w:pPr>
      <w:pBdr>
        <w:bottom w:val="single" w:sz="8" w:space="1" w:color="auto"/>
      </w:pBdr>
      <w:suppressAutoHyphens/>
    </w:pPr>
    <w:rPr>
      <w:b/>
      <w:sz w:val="28"/>
    </w:rPr>
  </w:style>
  <w:style w:type="paragraph" w:styleId="Titel">
    <w:name w:val="Title"/>
    <w:basedOn w:val="Standaard"/>
    <w:qFormat/>
    <w:pPr>
      <w:keepNext/>
      <w:keepLines/>
      <w:spacing w:before="170" w:after="170"/>
      <w:ind w:left="708" w:hanging="708"/>
    </w:pPr>
    <w:rPr>
      <w:b/>
      <w:sz w:val="32"/>
    </w:rPr>
  </w:style>
  <w:style w:type="paragraph" w:styleId="Plattetekst">
    <w:name w:val="Body Text"/>
    <w:basedOn w:val="Standaard"/>
    <w:semiHidden/>
    <w:rPr>
      <w:rFonts w:ascii="Univers" w:hAnsi="Univers"/>
    </w:rPr>
  </w:style>
  <w:style w:type="paragraph" w:customStyle="1" w:styleId="inspr3">
    <w:name w:val="inspr3"/>
    <w:basedOn w:val="Standaard"/>
    <w:pPr>
      <w:tabs>
        <w:tab w:val="left" w:pos="513"/>
        <w:tab w:val="left" w:pos="741"/>
        <w:tab w:val="right" w:pos="4845"/>
      </w:tabs>
      <w:ind w:left="737" w:hanging="737"/>
      <w:jc w:val="both"/>
    </w:pPr>
    <w:rPr>
      <w:rFonts w:ascii="Univers" w:hAnsi="Univers"/>
    </w:rPr>
  </w:style>
  <w:style w:type="paragraph" w:customStyle="1" w:styleId="inspr2">
    <w:name w:val="inspr2"/>
    <w:basedOn w:val="Standaard"/>
    <w:pPr>
      <w:tabs>
        <w:tab w:val="left" w:pos="285"/>
        <w:tab w:val="left" w:pos="513"/>
        <w:tab w:val="right" w:pos="4845"/>
      </w:tabs>
      <w:ind w:left="510" w:hanging="510"/>
      <w:jc w:val="both"/>
    </w:pPr>
    <w:rPr>
      <w:rFonts w:ascii="Univers" w:hAnsi="Univers"/>
    </w:rPr>
  </w:style>
  <w:style w:type="paragraph" w:styleId="Plattetekst0">
    <w:name w:val="Body Text"/>
    <w:basedOn w:val="Standaard"/>
    <w:semiHidden/>
    <w:pPr>
      <w:tabs>
        <w:tab w:val="left" w:pos="285"/>
        <w:tab w:val="left" w:pos="513"/>
        <w:tab w:val="left" w:pos="741"/>
        <w:tab w:val="left" w:pos="969"/>
        <w:tab w:val="right" w:pos="4575"/>
      </w:tabs>
      <w:jc w:val="both"/>
    </w:pPr>
    <w:rPr>
      <w:rFonts w:ascii="Univers" w:hAnsi="Univers"/>
    </w:rPr>
  </w:style>
  <w:style w:type="paragraph" w:styleId="Inhopg2">
    <w:name w:val="toc 2"/>
    <w:basedOn w:val="Standaard"/>
    <w:next w:val="Standaard"/>
    <w:semiHidden/>
    <w:pPr>
      <w:pBdr>
        <w:bottom w:val="single" w:sz="8" w:space="1" w:color="auto"/>
      </w:pBdr>
    </w:pPr>
    <w:rPr>
      <w:b/>
      <w:caps/>
      <w:sz w:val="24"/>
    </w:rPr>
  </w:style>
  <w:style w:type="paragraph" w:customStyle="1" w:styleId="inspr1">
    <w:name w:val="inspr1"/>
    <w:basedOn w:val="Standaard"/>
    <w:pPr>
      <w:tabs>
        <w:tab w:val="left" w:pos="285"/>
        <w:tab w:val="right" w:pos="4845"/>
      </w:tabs>
      <w:ind w:left="283" w:hanging="283"/>
      <w:jc w:val="both"/>
    </w:pPr>
    <w:rPr>
      <w:rFonts w:ascii="Univers" w:hAnsi="Univers"/>
    </w:rPr>
  </w:style>
  <w:style w:type="paragraph" w:customStyle="1" w:styleId="Standaardtekst">
    <w:name w:val="Standaardtekst"/>
    <w:basedOn w:val="Standaard"/>
    <w:rPr>
      <w:sz w:val="24"/>
    </w:rPr>
  </w:style>
  <w:style w:type="character" w:styleId="Paginanummer">
    <w:name w:val="page number"/>
    <w:basedOn w:val="Standaardalinea-lettertype"/>
    <w:semiHidden/>
  </w:style>
  <w:style w:type="paragraph" w:styleId="Tekstzonderopmaak">
    <w:name w:val="Plain Text"/>
    <w:basedOn w:val="Standaard"/>
    <w:semiHidden/>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80088071CB147898BF39751A90D24" ma:contentTypeVersion="10" ma:contentTypeDescription="Een nieuw document maken." ma:contentTypeScope="" ma:versionID="438e47bddd246654f15f117a2ba51e38">
  <xsd:schema xmlns:xsd="http://www.w3.org/2001/XMLSchema" xmlns:xs="http://www.w3.org/2001/XMLSchema" xmlns:p="http://schemas.microsoft.com/office/2006/metadata/properties" xmlns:ns2="98a38c2a-7848-4d2a-ac92-42fa7483b819" xmlns:ns3="a11bd150-8622-4db4-a674-2f8653ae0468" targetNamespace="http://schemas.microsoft.com/office/2006/metadata/properties" ma:root="true" ma:fieldsID="fecb52c3f7fcc61d0eeb63aaee2def20" ns2:_="" ns3:_="">
    <xsd:import namespace="98a38c2a-7848-4d2a-ac92-42fa7483b819"/>
    <xsd:import namespace="a11bd150-8622-4db4-a674-2f8653ae0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38c2a-7848-4d2a-ac92-42fa7483b81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bd150-8622-4db4-a674-2f8653ae0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25E9A-0AAA-4EEA-A595-76A397DF5971}"/>
</file>

<file path=customXml/itemProps2.xml><?xml version="1.0" encoding="utf-8"?>
<ds:datastoreItem xmlns:ds="http://schemas.openxmlformats.org/officeDocument/2006/customXml" ds:itemID="{0BE722D4-1CA4-4618-B8E8-665DDDE80E0A}"/>
</file>

<file path=customXml/itemProps3.xml><?xml version="1.0" encoding="utf-8"?>
<ds:datastoreItem xmlns:ds="http://schemas.openxmlformats.org/officeDocument/2006/customXml" ds:itemID="{0AAFD9CA-1E24-43F4-B4C0-1757F89FFFA0}"/>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Art</vt:lpstr>
    </vt:vector>
  </TitlesOfParts>
  <Company>ELVIA Verzekeringen N.V.</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I.V.</dc:creator>
  <cp:keywords/>
  <dc:description>Algemene voorwaarden</dc:description>
  <cp:lastModifiedBy>udhcbo</cp:lastModifiedBy>
  <cp:revision>2</cp:revision>
  <cp:lastPrinted>2001-10-23T14:48:00Z</cp:lastPrinted>
  <dcterms:created xsi:type="dcterms:W3CDTF">2011-02-21T12:33:00Z</dcterms:created>
  <dcterms:modified xsi:type="dcterms:W3CDTF">2011-02-21T12:33:00Z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0x010100CD780088071CB147898BF39751A90D24</vt:lpwstr>
  </property>
</Properties>
</file>